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Fenetex Cavity Sizing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Geddie Herring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Screen My Porch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919-605-1738</w:t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Single Roller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6” Bracket: 6 x 10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Screen up to 20’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Vinyl up to 16’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7.5” Bracket:  7.5 x 11.5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Screen 20’-25’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Vinyl 16’-25’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Double Rollers Over / Under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Two 6” Brackets: 8 x 16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One 6” and One 7.5” Bracket: 9.5 x 17.5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Two 7.5” Brackets: 9.5 x 19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Double Rollers Side by Side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Two 6” Brackets: 12 x 10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One 6” and One 7.5” Bracket: 13.5 x 11.5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Two 7.5” Brackets: 15 x 11.5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Track Recess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1.75 wide and 2.25 deep (2x and ¾ board)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ReTDFjAuJd8Bk/M7dlkV4gWWYQ==">CgMxLjA4AHIhMTBzLThKUVctR1g3LU1DX1RxTFEyOFlHY05aVjNsclpL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2024-11-29T02:31:00Z</dcterms:created>
  <dc:creator>Geddie Herring</dc:creator>
</cp:coreProperties>
</file>